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A" w:rsidRPr="00577E62" w:rsidRDefault="004B20FA" w:rsidP="004B20FA">
      <w:pPr>
        <w:pStyle w:val="Nadpis1"/>
        <w:numPr>
          <w:ilvl w:val="0"/>
          <w:numId w:val="7"/>
        </w:numPr>
        <w:spacing w:line="276" w:lineRule="auto"/>
        <w:jc w:val="center"/>
        <w:rPr>
          <w:rFonts w:ascii="Georgia" w:hAnsi="Georgia" w:cs="Calibri"/>
          <w:color w:val="000000" w:themeColor="text1"/>
          <w:sz w:val="28"/>
          <w:szCs w:val="28"/>
          <w:lang w:val="sk-SK"/>
        </w:rPr>
      </w:pPr>
      <w:r w:rsidRPr="00577E62">
        <w:rPr>
          <w:rFonts w:ascii="Georgia" w:hAnsi="Georgia" w:cs="Calibri"/>
          <w:color w:val="000000" w:themeColor="text1"/>
          <w:sz w:val="28"/>
          <w:szCs w:val="28"/>
          <w:lang w:val="sk-SK"/>
        </w:rPr>
        <w:t xml:space="preserve">ZMLUVA O VYTVORENÍ  DIELA  A LICENČNÁ ZMLUVA </w:t>
      </w:r>
    </w:p>
    <w:p w:rsidR="004B20FA" w:rsidRPr="00577E62" w:rsidRDefault="004B20FA" w:rsidP="004B20FA">
      <w:pPr>
        <w:pStyle w:val="CISLOvzoru"/>
      </w:pPr>
      <w:r w:rsidRPr="00577E62">
        <w:br/>
        <w:t>uzatvorená podľa zákona č. 185/2015 Z. z. Autorský zákon)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Zmluvné strany: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Autor: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724DCC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color w:val="000000" w:themeColor="text1"/>
          <w:sz w:val="22"/>
          <w:szCs w:val="22"/>
        </w:rPr>
        <w:t>Meno a  pri</w:t>
      </w:r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>ezvisko:</w:t>
      </w:r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ab/>
        <w:t xml:space="preserve">Mgr. </w:t>
      </w:r>
      <w:proofErr w:type="spellStart"/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>Kužmová</w:t>
      </w:r>
      <w:proofErr w:type="spellEnd"/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 xml:space="preserve"> Amália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Dátum narodenia: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Adresa: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Príslušnosť: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="008C40B3">
        <w:rPr>
          <w:rFonts w:ascii="Georgia" w:hAnsi="Georgia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="00D47359">
        <w:rPr>
          <w:rFonts w:ascii="Georgia" w:hAnsi="Georgia" w:cs="Arial"/>
          <w:color w:val="000000" w:themeColor="text1"/>
          <w:sz w:val="22"/>
          <w:szCs w:val="22"/>
        </w:rPr>
        <w:t>SK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„autor“)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Objednávateľ: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Názov: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  <w:t>Dom kultúry v Čadci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 xml:space="preserve">IČO: 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37798740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Sídlo: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022 01 Čadca, Matičné námestie 1434/11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Zast</w:t>
      </w:r>
      <w:proofErr w:type="spellEnd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.: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Mgr. Ľubica </w:t>
      </w:r>
      <w:proofErr w:type="spellStart"/>
      <w:r w:rsidRPr="00577E62">
        <w:rPr>
          <w:rFonts w:ascii="Georgia" w:hAnsi="Georgia" w:cs="Arial"/>
          <w:color w:val="000000" w:themeColor="text1"/>
          <w:sz w:val="22"/>
          <w:szCs w:val="22"/>
        </w:rPr>
        <w:t>Kullová</w:t>
      </w:r>
      <w:proofErr w:type="spellEnd"/>
      <w:r w:rsidRPr="00577E62">
        <w:rPr>
          <w:rFonts w:ascii="Georgia" w:hAnsi="Georgia" w:cs="Arial"/>
          <w:color w:val="000000" w:themeColor="text1"/>
          <w:sz w:val="22"/>
          <w:szCs w:val="22"/>
        </w:rPr>
        <w:t>, riaditeľka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„objednávateľ“)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sa dohodli na uzavretí tejto zmluvy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1</w:t>
      </w:r>
    </w:p>
    <w:p w:rsidR="004B20FA" w:rsidRPr="00F44AC4" w:rsidRDefault="004B20FA" w:rsidP="00F44AC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touto zmluvou zaväzuje vytvoriť vlastnou tvorivou duševnou činnosťou dielo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404A1D">
        <w:rPr>
          <w:rFonts w:ascii="Georgia" w:hAnsi="Georgia" w:cs="Arial"/>
          <w:color w:val="000000" w:themeColor="text1"/>
          <w:sz w:val="22"/>
          <w:szCs w:val="22"/>
        </w:rPr>
        <w:t>– Dramaturgia a choreografia programu na Bartolomejský jarmok dňa 26.8.2018.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 sa zaväzuj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e v stanovených termínoch zabezpečiť nácvik s členmi DFS </w:t>
      </w:r>
      <w:proofErr w:type="spellStart"/>
      <w:r w:rsidR="00D47359">
        <w:rPr>
          <w:rFonts w:ascii="Georgia" w:hAnsi="Georgia" w:cs="Arial"/>
          <w:color w:val="000000" w:themeColor="text1"/>
          <w:sz w:val="22"/>
          <w:szCs w:val="22"/>
        </w:rPr>
        <w:t>Kelčovan</w:t>
      </w:r>
      <w:proofErr w:type="spellEnd"/>
      <w:r w:rsidR="00D47359">
        <w:rPr>
          <w:rFonts w:ascii="Georgia" w:hAnsi="Georgia" w:cs="Arial"/>
          <w:color w:val="000000" w:themeColor="text1"/>
          <w:sz w:val="22"/>
          <w:szCs w:val="22"/>
        </w:rPr>
        <w:t>.</w:t>
      </w:r>
    </w:p>
    <w:p w:rsidR="00D47359" w:rsidRPr="00577E62" w:rsidRDefault="00D47359" w:rsidP="00D47359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2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zaväzuje vykonať dielo osobne na vlastné náklady a nebezpečenstvo </w:t>
      </w:r>
      <w:r w:rsidR="00E36F6B">
        <w:rPr>
          <w:rFonts w:ascii="Georgia" w:hAnsi="Georgia" w:cs="Arial"/>
          <w:color w:val="000000" w:themeColor="text1"/>
          <w:sz w:val="22"/>
          <w:szCs w:val="22"/>
        </w:rPr>
        <w:t xml:space="preserve">a vyhlasuje, že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dielo bude výsledkom vlastnej duševnej činnosti autora. 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3</w:t>
      </w:r>
    </w:p>
    <w:p w:rsidR="004B20FA" w:rsidRPr="00404A1D" w:rsidRDefault="004B20FA" w:rsidP="00404A1D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Objednávateľ sa zaväzuje zaplatiť autorovi odme</w:t>
      </w:r>
      <w:r w:rsidR="00404A1D">
        <w:rPr>
          <w:rFonts w:ascii="Georgia" w:hAnsi="Georgia" w:cs="Arial"/>
          <w:color w:val="000000" w:themeColor="text1"/>
          <w:sz w:val="22"/>
          <w:szCs w:val="22"/>
        </w:rPr>
        <w:t>nu za vykonanie diela v sume 200,-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 €, čo je konečná cena vrátane DPH a dopravy. 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>Dohodn</w:t>
      </w:r>
      <w:r w:rsidR="00404A1D">
        <w:rPr>
          <w:rFonts w:ascii="Georgia" w:hAnsi="Georgia" w:cs="Arial"/>
          <w:color w:val="000000" w:themeColor="text1"/>
          <w:sz w:val="22"/>
          <w:szCs w:val="22"/>
        </w:rPr>
        <w:t>utá suma bude vyplatená v hotovosti v deň vystúpenia,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 po zrazení 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príspevku do hudobného fondu vo výške 2% 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lastRenderedPageBreak/>
        <w:t>z</w:t>
      </w:r>
      <w:r w:rsidR="00404A1D">
        <w:rPr>
          <w:rFonts w:ascii="Georgia" w:hAnsi="Georgia" w:cs="Arial"/>
          <w:color w:val="000000" w:themeColor="text1"/>
          <w:sz w:val="22"/>
          <w:szCs w:val="22"/>
        </w:rPr>
        <w:t> hrubého príjmu 200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,- € </w:t>
      </w:r>
      <w:r w:rsidR="00404A1D">
        <w:rPr>
          <w:rFonts w:ascii="Georgia" w:hAnsi="Georgia" w:cs="Arial"/>
          <w:color w:val="000000" w:themeColor="text1"/>
          <w:sz w:val="22"/>
          <w:szCs w:val="22"/>
        </w:rPr>
        <w:t xml:space="preserve"> - 4 = 196,- €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 a zrazenie </w:t>
      </w:r>
      <w:r w:rsidR="00BF0AA7">
        <w:rPr>
          <w:rFonts w:ascii="Georgia" w:hAnsi="Georgia" w:cs="Arial"/>
          <w:color w:val="000000" w:themeColor="text1"/>
          <w:sz w:val="22"/>
          <w:szCs w:val="22"/>
        </w:rPr>
        <w:t xml:space="preserve">zrážkovej dane vo výške 19%. </w:t>
      </w:r>
      <w:r w:rsidR="00404A1D">
        <w:rPr>
          <w:rFonts w:ascii="Georgia" w:hAnsi="Georgia" w:cs="Arial"/>
          <w:color w:val="000000" w:themeColor="text1"/>
          <w:sz w:val="22"/>
          <w:szCs w:val="22"/>
        </w:rPr>
        <w:t xml:space="preserve">  196 – 37,24 = 158,76 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>€.</w:t>
      </w:r>
    </w:p>
    <w:p w:rsidR="004B20FA" w:rsidRPr="00554DA3" w:rsidRDefault="004B20FA" w:rsidP="00554DA3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54DA3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Čl.4</w:t>
      </w:r>
    </w:p>
    <w:p w:rsidR="004B20FA" w:rsidRPr="00577E62" w:rsidRDefault="004B20FA" w:rsidP="004B20FA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</w:pP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1.</w:t>
      </w: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ab/>
      </w:r>
      <w:r w:rsidRPr="00577E62"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Autor sa zaväzuje vytvoriť dielo osobne s náležitou odbornou starostlivosťou.</w:t>
      </w:r>
    </w:p>
    <w:p w:rsidR="004B20FA" w:rsidRPr="00577E62" w:rsidRDefault="004B20FA" w:rsidP="004B20FA">
      <w:pPr>
        <w:spacing w:before="288"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Pri vytváraní diela postupuje autor samostatne a nie je viazaný pokynmi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objednávateľa.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spacing w:line="276" w:lineRule="auto"/>
        <w:jc w:val="both"/>
        <w:rPr>
          <w:rFonts w:ascii="Georgia" w:hAnsi="Georgia" w:cs="Calibri"/>
          <w:b w:val="0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Autor nie je v omeškaní s plnením záväzku, ak mu objednávateľ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neposkytol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potrebnú súčinnosť. 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>O po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trebe súčinnosti je však autor povinný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informovať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objednávateľa bez zbytočného odkladu. Ak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tak neurobí, dostáva sa do omeškania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a z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odpovedá za všetky </w:t>
      </w:r>
      <w:proofErr w:type="spellStart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>vady</w:t>
      </w:r>
      <w:proofErr w:type="spellEnd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, ktoré vznikli na základe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neposkytnutia súčinnosti.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Čl. 5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Uzatvorením tejto zmluvy a odovzdaním diela udeľuje autor neobmedzenú výhradnú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licenciu na použitie diela špecifikovaného v čl. 1 tejto zmluvy. 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Na základe tejto Zmluvy udeľuje zhotoviteľ objednávateľovi súhlas na použitie Diela, a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>to najmä na: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vyhotovenie rozmnoženiny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Diela a/alebo jeho rozmnoženiny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originálu Diela, jeho záznamu alebo rozmnožením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zaradenie Diela do súborného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vystavenie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vykonanie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verejný prenos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sprístupňovanie Diela verejnosti.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poskytuje objednávateľovi Licenciu na neobmedzené časové obdobie. Udelená Licencia je výhradná a právo nadobúdateľa udeliť licenciu tretej osobe nie je dotknuté. Licencia sa udeľuje vo vzťahu k Dielu ako celku ako aj k akejkoľvek jeho časti bez teritoriálneho alebo vecného obmedzenia.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4.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Objednávateľ je oprávnený udeliť tretej osobe súhlas na použitie diela v rozsahu jemu udelenej licencie.</w:t>
      </w:r>
    </w:p>
    <w:p w:rsidR="004B20FA" w:rsidRPr="00577E62" w:rsidRDefault="004B20FA" w:rsidP="004B20FA">
      <w:pPr>
        <w:pBdr>
          <w:bottom w:val="single" w:sz="4" w:space="1" w:color="auto"/>
        </w:pBdr>
        <w:spacing w:before="288" w:line="276" w:lineRule="auto"/>
        <w:ind w:left="576" w:hanging="576"/>
        <w:jc w:val="center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/>
          <w:color w:val="000000" w:themeColor="text1"/>
          <w:sz w:val="22"/>
          <w:szCs w:val="22"/>
        </w:rPr>
        <w:t>Čl. 6</w:t>
      </w: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vykonané dielo prevziať. </w:t>
      </w: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zaplatiť zhotoviteľovi cenu za zhotovenie diela podľa platobných podmienok dohodnutých v tejto zmluve. </w:t>
      </w:r>
    </w:p>
    <w:p w:rsidR="004B20FA" w:rsidRPr="00577E62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zodpovedá za:</w:t>
      </w:r>
    </w:p>
    <w:p w:rsidR="004B20FA" w:rsidRPr="00577E62" w:rsidRDefault="004B20FA" w:rsidP="004B20FA">
      <w:pPr>
        <w:widowControl w:val="0"/>
        <w:numPr>
          <w:ilvl w:val="2"/>
          <w:numId w:val="6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čo i len neúmyselné porušenie cudzích autorských práv </w:t>
      </w:r>
    </w:p>
    <w:p w:rsidR="004B20FA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  škodu spôsobenú objednávateľovi nekvalitným zhotovením diela.</w:t>
      </w:r>
    </w:p>
    <w:p w:rsidR="004B20FA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before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7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Táto zmluva sa vyhotovuje vo 2 rovnopisoch.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Práva a povinnosti zmluvných strán v zmluve bližšie neupravené sa riadia príslušnými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ustanoveniami zákona č. 185/2015 Z. z. Autorský zákon a ustanoveniami Občianskeho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zákonníka.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Zmluva nadobúda účinnosť dňom podpisu oboma zmluvnými stranami.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Zmluvné strany vyhlasujú, že zmluvu uzavreli slobodne, vážne a bez omylu, nebola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uzavre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tá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v tiesni, za nápadne nevýhodných podmienok, zmluvu si prečítali, jej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obsahu porozumeli a na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znak súhlasu zmluvu podpisujú.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Default="00D40451" w:rsidP="00D404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Táto zmluva je povinne zverejňovaná podľa § 5a zákona č. 211/2000Z.z. v znení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70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neskorších predpisov.</w:t>
      </w:r>
    </w:p>
    <w:p w:rsidR="00D40451" w:rsidRPr="00D40451" w:rsidRDefault="00D40451" w:rsidP="00D40451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Pr="00577E62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1F4105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V Čadci, dňa </w:t>
      </w:r>
      <w:r w:rsidR="00404A1D">
        <w:rPr>
          <w:rFonts w:ascii="Georgia" w:hAnsi="Georgia" w:cs="Arial"/>
          <w:color w:val="000000" w:themeColor="text1"/>
          <w:sz w:val="22"/>
          <w:szCs w:val="22"/>
        </w:rPr>
        <w:t>13.08.2018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........................................................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..........................................................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Objednávateľ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F5494B" w:rsidRDefault="00F5494B"/>
    <w:sectPr w:rsidR="00F5494B" w:rsidSect="00B9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124A24E"/>
    <w:name w:val="WW8Num2"/>
    <w:lvl w:ilvl="0">
      <w:start w:val="1"/>
      <w:numFmt w:val="upperRoman"/>
      <w:pStyle w:val="Nadpis1"/>
      <w:lvlText w:val="%1."/>
      <w:lvlJc w:val="center"/>
      <w:pPr>
        <w:tabs>
          <w:tab w:val="num" w:pos="1008"/>
        </w:tabs>
        <w:ind w:left="1008" w:hanging="72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b w:val="0"/>
        <w:sz w:val="28"/>
        <w:lang w:val="sk-SK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Georgia" w:hAnsi="Georgia" w:cs="Calibri" w:hint="default"/>
        <w:b w:val="0"/>
        <w:sz w:val="22"/>
        <w:szCs w:val="22"/>
        <w:lang w:val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30805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16344"/>
    <w:multiLevelType w:val="hybridMultilevel"/>
    <w:tmpl w:val="EC10B5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32E2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5195"/>
    <w:multiLevelType w:val="hybridMultilevel"/>
    <w:tmpl w:val="2DDCBD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A"/>
    <w:rsid w:val="000354B6"/>
    <w:rsid w:val="00096E3D"/>
    <w:rsid w:val="000A2DE1"/>
    <w:rsid w:val="000A795A"/>
    <w:rsid w:val="001879DD"/>
    <w:rsid w:val="001D3BF7"/>
    <w:rsid w:val="001F4105"/>
    <w:rsid w:val="00370CBD"/>
    <w:rsid w:val="00404A1D"/>
    <w:rsid w:val="00426BB6"/>
    <w:rsid w:val="004B20FA"/>
    <w:rsid w:val="00554DA3"/>
    <w:rsid w:val="005D07E3"/>
    <w:rsid w:val="006A5E1D"/>
    <w:rsid w:val="00724DCC"/>
    <w:rsid w:val="00803FE9"/>
    <w:rsid w:val="00850463"/>
    <w:rsid w:val="008C40B3"/>
    <w:rsid w:val="008E6C3E"/>
    <w:rsid w:val="00935DBE"/>
    <w:rsid w:val="009C6AEB"/>
    <w:rsid w:val="00A758AF"/>
    <w:rsid w:val="00BD34C4"/>
    <w:rsid w:val="00BF0AA7"/>
    <w:rsid w:val="00CA5730"/>
    <w:rsid w:val="00CB396C"/>
    <w:rsid w:val="00D40451"/>
    <w:rsid w:val="00D47359"/>
    <w:rsid w:val="00E36F6B"/>
    <w:rsid w:val="00F44AC4"/>
    <w:rsid w:val="00F5494B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1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ZMLUVA O VYTVORENÍ  DIELA  A LICENČNÁ ZMLUVA 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Mgr. Patrícia Mináč Malicherová</dc:creator>
  <cp:lastModifiedBy>DK1</cp:lastModifiedBy>
  <cp:revision>3</cp:revision>
  <cp:lastPrinted>2017-10-16T11:12:00Z</cp:lastPrinted>
  <dcterms:created xsi:type="dcterms:W3CDTF">2018-08-24T11:01:00Z</dcterms:created>
  <dcterms:modified xsi:type="dcterms:W3CDTF">2018-08-27T11:49:00Z</dcterms:modified>
</cp:coreProperties>
</file>